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B9" w:rsidRDefault="00CF7934" w:rsidP="00CF793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7934">
        <w:rPr>
          <w:b/>
          <w:sz w:val="32"/>
          <w:szCs w:val="32"/>
        </w:rPr>
        <w:t xml:space="preserve">University Partners </w:t>
      </w:r>
      <w:r w:rsidR="00555703">
        <w:rPr>
          <w:b/>
          <w:sz w:val="32"/>
          <w:szCs w:val="32"/>
        </w:rPr>
        <w:t>PEP Annual</w:t>
      </w:r>
      <w:r w:rsidRPr="00CF7934">
        <w:rPr>
          <w:b/>
          <w:sz w:val="32"/>
          <w:szCs w:val="32"/>
        </w:rPr>
        <w:t xml:space="preserve"> Program Report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7308"/>
        <w:gridCol w:w="900"/>
        <w:gridCol w:w="5760"/>
      </w:tblGrid>
      <w:tr w:rsidR="002A2822" w:rsidRPr="00D3608C">
        <w:tc>
          <w:tcPr>
            <w:tcW w:w="13968" w:type="dxa"/>
            <w:gridSpan w:val="3"/>
            <w:shd w:val="clear" w:color="auto" w:fill="C6D9F1" w:themeFill="text2" w:themeFillTint="33"/>
          </w:tcPr>
          <w:p w:rsidR="002A2822" w:rsidRPr="00CF7934" w:rsidRDefault="002A2822">
            <w:pPr>
              <w:rPr>
                <w:rFonts w:ascii="Times New Roman" w:hAnsi="Times New Roman" w:cs="Times New Roman"/>
                <w:b/>
              </w:rPr>
            </w:pPr>
            <w:r w:rsidRPr="00CF7934">
              <w:rPr>
                <w:rFonts w:ascii="Times New Roman" w:hAnsi="Times New Roman" w:cs="Times New Roman"/>
                <w:b/>
              </w:rPr>
              <w:t>University</w:t>
            </w:r>
            <w:r w:rsidR="00CF7934" w:rsidRPr="00CF7934">
              <w:rPr>
                <w:rFonts w:ascii="Times New Roman" w:hAnsi="Times New Roman" w:cs="Times New Roman"/>
                <w:b/>
              </w:rPr>
              <w:t xml:space="preserve"> Name</w:t>
            </w:r>
            <w:r w:rsidR="00CF2E38">
              <w:rPr>
                <w:rFonts w:ascii="Times New Roman" w:hAnsi="Times New Roman" w:cs="Times New Roman"/>
                <w:b/>
              </w:rPr>
              <w:t xml:space="preserve">: </w:t>
            </w:r>
            <w:r w:rsidR="00E66D55">
              <w:rPr>
                <w:rFonts w:ascii="Times New Roman" w:hAnsi="Times New Roman" w:cs="Times New Roman"/>
                <w:b/>
              </w:rPr>
              <w:t>University of Illinois</w:t>
            </w:r>
            <w:r w:rsidR="00DD061C">
              <w:rPr>
                <w:rFonts w:ascii="Times New Roman" w:hAnsi="Times New Roman" w:cs="Times New Roman"/>
                <w:b/>
              </w:rPr>
              <w:t xml:space="preserve"> at Chicago</w:t>
            </w:r>
            <w:r w:rsidR="00CF2E38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 w:rsidR="00E66D55">
              <w:rPr>
                <w:rFonts w:ascii="Times New Roman" w:hAnsi="Times New Roman" w:cs="Times New Roman"/>
                <w:b/>
              </w:rPr>
              <w:t xml:space="preserve"> Contact Person</w:t>
            </w:r>
            <w:r w:rsidR="00CF2E38">
              <w:rPr>
                <w:rFonts w:ascii="Times New Roman" w:hAnsi="Times New Roman" w:cs="Times New Roman"/>
                <w:b/>
              </w:rPr>
              <w:t>: Alan Dettlaff</w:t>
            </w:r>
          </w:p>
          <w:p w:rsidR="002A2822" w:rsidRPr="00CF7934" w:rsidRDefault="00772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</w:t>
            </w:r>
            <w:r w:rsidR="00E66D55">
              <w:rPr>
                <w:rFonts w:ascii="Times New Roman" w:hAnsi="Times New Roman" w:cs="Times New Roman"/>
                <w:b/>
              </w:rPr>
              <w:t xml:space="preserve"> covered: </w:t>
            </w:r>
            <w:r w:rsidR="00555703">
              <w:rPr>
                <w:rFonts w:ascii="Times New Roman" w:hAnsi="Times New Roman" w:cs="Times New Roman"/>
                <w:b/>
              </w:rPr>
              <w:t>July 2013</w:t>
            </w:r>
            <w:r w:rsidR="00CF2E38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01433D">
              <w:rPr>
                <w:rFonts w:ascii="Times New Roman" w:hAnsi="Times New Roman" w:cs="Times New Roman"/>
                <w:b/>
              </w:rPr>
              <w:t>2014</w:t>
            </w:r>
          </w:p>
          <w:p w:rsidR="002A2822" w:rsidRPr="00CF7934" w:rsidRDefault="002A28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B25" w:rsidRPr="00D3608C">
        <w:tc>
          <w:tcPr>
            <w:tcW w:w="7308" w:type="dxa"/>
          </w:tcPr>
          <w:p w:rsidR="00962B25" w:rsidRPr="00CF7934" w:rsidRDefault="00962B25">
            <w:pPr>
              <w:rPr>
                <w:rFonts w:ascii="Times New Roman" w:hAnsi="Times New Roman" w:cs="Times New Roman"/>
                <w:b/>
              </w:rPr>
            </w:pPr>
            <w:r w:rsidRPr="00CF7934">
              <w:rPr>
                <w:rFonts w:ascii="Times New Roman" w:hAnsi="Times New Roman" w:cs="Times New Roman"/>
                <w:b/>
              </w:rPr>
              <w:t>Program Plan Activity</w:t>
            </w:r>
          </w:p>
        </w:tc>
        <w:tc>
          <w:tcPr>
            <w:tcW w:w="900" w:type="dxa"/>
          </w:tcPr>
          <w:p w:rsidR="00962B25" w:rsidRPr="00CF7934" w:rsidRDefault="00F0147A" w:rsidP="00F0147A">
            <w:pPr>
              <w:rPr>
                <w:rFonts w:ascii="Times New Roman" w:hAnsi="Times New Roman" w:cs="Times New Roman"/>
                <w:b/>
              </w:rPr>
            </w:pPr>
            <w:r w:rsidRPr="00F0147A">
              <w:rPr>
                <w:rFonts w:ascii="Times New Roman" w:hAnsi="Times New Roman" w:cs="Times New Roman"/>
                <w:b/>
              </w:rPr>
              <w:t xml:space="preserve">√ </w:t>
            </w:r>
            <w:r w:rsidRPr="00F0147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962B25" w:rsidRPr="00F0147A">
              <w:rPr>
                <w:rFonts w:ascii="Times New Roman" w:hAnsi="Times New Roman" w:cs="Times New Roman"/>
                <w:b/>
                <w:sz w:val="20"/>
                <w:szCs w:val="20"/>
              </w:rPr>
              <w:t>heck all that apply for the month</w:t>
            </w:r>
          </w:p>
        </w:tc>
        <w:tc>
          <w:tcPr>
            <w:tcW w:w="5760" w:type="dxa"/>
          </w:tcPr>
          <w:p w:rsidR="00962B25" w:rsidRPr="00CF7934" w:rsidRDefault="00962B25" w:rsidP="0001433D">
            <w:pPr>
              <w:rPr>
                <w:rFonts w:ascii="Times New Roman" w:hAnsi="Times New Roman" w:cs="Times New Roman"/>
                <w:b/>
              </w:rPr>
            </w:pPr>
            <w:r w:rsidRPr="00CF7934">
              <w:rPr>
                <w:rFonts w:ascii="Times New Roman" w:hAnsi="Times New Roman" w:cs="Times New Roman"/>
                <w:b/>
              </w:rPr>
              <w:t>Notes</w:t>
            </w:r>
            <w:r w:rsidR="002225A5">
              <w:rPr>
                <w:rFonts w:ascii="Times New Roman" w:hAnsi="Times New Roman" w:cs="Times New Roman"/>
                <w:b/>
              </w:rPr>
              <w:t xml:space="preserve">: Currently there are 6 “active” Action Teams; </w:t>
            </w:r>
            <w:r w:rsidR="0001433D">
              <w:rPr>
                <w:rFonts w:ascii="Times New Roman" w:hAnsi="Times New Roman" w:cs="Times New Roman"/>
                <w:b/>
              </w:rPr>
              <w:t xml:space="preserve">South Suburban, ITAV, </w:t>
            </w:r>
            <w:r w:rsidR="002225A5">
              <w:rPr>
                <w:rFonts w:ascii="Times New Roman" w:hAnsi="Times New Roman" w:cs="Times New Roman"/>
                <w:b/>
              </w:rPr>
              <w:t>Chicago</w:t>
            </w:r>
            <w:r w:rsidR="0001433D">
              <w:rPr>
                <w:rFonts w:ascii="Times New Roman" w:hAnsi="Times New Roman" w:cs="Times New Roman"/>
                <w:b/>
              </w:rPr>
              <w:t xml:space="preserve"> Northside Families Safety Net, LAN 67, Progressive partners, 1911. LAN 60 has agreed to absorb</w:t>
            </w:r>
            <w:r w:rsidR="002225A5">
              <w:rPr>
                <w:rFonts w:ascii="Times New Roman" w:hAnsi="Times New Roman" w:cs="Times New Roman"/>
                <w:b/>
              </w:rPr>
              <w:t xml:space="preserve"> </w:t>
            </w:r>
            <w:r w:rsidR="0001433D">
              <w:rPr>
                <w:rFonts w:ascii="Times New Roman" w:hAnsi="Times New Roman" w:cs="Times New Roman"/>
                <w:b/>
              </w:rPr>
              <w:t xml:space="preserve">the </w:t>
            </w:r>
            <w:r w:rsidR="002225A5">
              <w:rPr>
                <w:rFonts w:ascii="Times New Roman" w:hAnsi="Times New Roman" w:cs="Times New Roman"/>
                <w:b/>
              </w:rPr>
              <w:t xml:space="preserve">LAN 57, 58 &amp; 60 and LAN 75 </w:t>
            </w:r>
            <w:r w:rsidR="0001433D">
              <w:rPr>
                <w:rFonts w:ascii="Times New Roman" w:hAnsi="Times New Roman" w:cs="Times New Roman"/>
                <w:b/>
              </w:rPr>
              <w:t>Action Teams effective August 2014</w:t>
            </w:r>
            <w:r w:rsidR="002225A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47C54" w:rsidRPr="0038033E" w:rsidTr="00A17730">
        <w:trPr>
          <w:trHeight w:val="305"/>
        </w:trPr>
        <w:tc>
          <w:tcPr>
            <w:tcW w:w="13968" w:type="dxa"/>
            <w:gridSpan w:val="3"/>
          </w:tcPr>
          <w:p w:rsidR="00647C54" w:rsidRPr="00CF7934" w:rsidRDefault="00647C54" w:rsidP="0064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934">
              <w:rPr>
                <w:rFonts w:ascii="Times New Roman" w:hAnsi="Times New Roman" w:cs="Times New Roman"/>
                <w:b/>
              </w:rPr>
              <w:t>General Technical Assistance and Training</w:t>
            </w:r>
          </w:p>
        </w:tc>
      </w:tr>
      <w:tr w:rsidR="00962B25" w:rsidRPr="0038033E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</w:rPr>
              <w:t>Support for Action Team goal setting and outcome planning</w:t>
            </w:r>
          </w:p>
        </w:tc>
        <w:tc>
          <w:tcPr>
            <w:tcW w:w="900" w:type="dxa"/>
          </w:tcPr>
          <w:p w:rsidR="00962B25" w:rsidRPr="00CF7934" w:rsidRDefault="002C5E15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962B25" w:rsidRPr="00CF7934" w:rsidRDefault="002225A5" w:rsidP="0051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Six </w:t>
            </w:r>
            <w:r w:rsidR="00A17730">
              <w:rPr>
                <w:rFonts w:ascii="Times New Roman" w:hAnsi="Times New Roman" w:cs="Times New Roman"/>
              </w:rPr>
              <w:t>of the nine</w:t>
            </w:r>
            <w:r w:rsidR="009B79C8">
              <w:rPr>
                <w:rFonts w:ascii="Times New Roman" w:hAnsi="Times New Roman" w:cs="Times New Roman"/>
              </w:rPr>
              <w:t xml:space="preserve"> Cook Region </w:t>
            </w:r>
            <w:r w:rsidR="00A17730">
              <w:rPr>
                <w:rFonts w:ascii="Times New Roman" w:hAnsi="Times New Roman" w:cs="Times New Roman"/>
              </w:rPr>
              <w:t>Action T</w:t>
            </w:r>
            <w:r w:rsidR="00E66D55">
              <w:rPr>
                <w:rFonts w:ascii="Times New Roman" w:hAnsi="Times New Roman" w:cs="Times New Roman"/>
              </w:rPr>
              <w:t xml:space="preserve">eams </w:t>
            </w:r>
            <w:r w:rsidR="0072039D">
              <w:rPr>
                <w:rFonts w:ascii="Times New Roman" w:hAnsi="Times New Roman" w:cs="Times New Roman"/>
              </w:rPr>
              <w:t>continue to use their</w:t>
            </w:r>
            <w:r w:rsidR="00E66D55">
              <w:rPr>
                <w:rFonts w:ascii="Times New Roman" w:hAnsi="Times New Roman" w:cs="Times New Roman"/>
              </w:rPr>
              <w:t xml:space="preserve"> </w:t>
            </w:r>
            <w:r w:rsidR="0065356F">
              <w:rPr>
                <w:rFonts w:ascii="Times New Roman" w:hAnsi="Times New Roman" w:cs="Times New Roman"/>
              </w:rPr>
              <w:t>strategic plans</w:t>
            </w:r>
            <w:r w:rsidR="0072039D">
              <w:rPr>
                <w:rFonts w:ascii="Times New Roman" w:hAnsi="Times New Roman" w:cs="Times New Roman"/>
              </w:rPr>
              <w:t xml:space="preserve"> (</w:t>
            </w:r>
            <w:r w:rsidR="009B79C8">
              <w:rPr>
                <w:rFonts w:ascii="Times New Roman" w:hAnsi="Times New Roman" w:cs="Times New Roman"/>
              </w:rPr>
              <w:t>mission, vision, o</w:t>
            </w:r>
            <w:r w:rsidR="002C5E15">
              <w:rPr>
                <w:rFonts w:ascii="Times New Roman" w:hAnsi="Times New Roman" w:cs="Times New Roman"/>
              </w:rPr>
              <w:t xml:space="preserve">bjectives, strategies and action </w:t>
            </w:r>
            <w:r w:rsidR="009B79C8">
              <w:rPr>
                <w:rFonts w:ascii="Times New Roman" w:hAnsi="Times New Roman" w:cs="Times New Roman"/>
              </w:rPr>
              <w:t>s</w:t>
            </w:r>
            <w:r w:rsidR="002C5E15">
              <w:rPr>
                <w:rFonts w:ascii="Times New Roman" w:hAnsi="Times New Roman" w:cs="Times New Roman"/>
              </w:rPr>
              <w:t>teps</w:t>
            </w:r>
            <w:r w:rsidR="0072039D">
              <w:rPr>
                <w:rFonts w:ascii="Times New Roman" w:hAnsi="Times New Roman" w:cs="Times New Roman"/>
              </w:rPr>
              <w:t>)</w:t>
            </w:r>
            <w:r w:rsidR="005161CA">
              <w:rPr>
                <w:rFonts w:ascii="Times New Roman" w:hAnsi="Times New Roman" w:cs="Times New Roman"/>
              </w:rPr>
              <w:t xml:space="preserve"> to guide their work. Most o</w:t>
            </w:r>
            <w:r w:rsidR="00555703">
              <w:rPr>
                <w:rFonts w:ascii="Times New Roman" w:hAnsi="Times New Roman" w:cs="Times New Roman"/>
              </w:rPr>
              <w:t>f the teams have revised/updated</w:t>
            </w:r>
            <w:r w:rsidR="005161CA">
              <w:rPr>
                <w:rFonts w:ascii="Times New Roman" w:hAnsi="Times New Roman" w:cs="Times New Roman"/>
              </w:rPr>
              <w:t xml:space="preserve"> their </w:t>
            </w:r>
            <w:r w:rsidR="005E3D08">
              <w:rPr>
                <w:rFonts w:ascii="Times New Roman" w:hAnsi="Times New Roman" w:cs="Times New Roman"/>
              </w:rPr>
              <w:t>strategic p</w:t>
            </w:r>
            <w:r w:rsidR="005161CA">
              <w:rPr>
                <w:rFonts w:ascii="Times New Roman" w:hAnsi="Times New Roman" w:cs="Times New Roman"/>
              </w:rPr>
              <w:t>l</w:t>
            </w:r>
            <w:r w:rsidR="005E3D08">
              <w:rPr>
                <w:rFonts w:ascii="Times New Roman" w:hAnsi="Times New Roman" w:cs="Times New Roman"/>
              </w:rPr>
              <w:t xml:space="preserve">ans </w:t>
            </w:r>
            <w:r w:rsidR="005161CA">
              <w:rPr>
                <w:rFonts w:ascii="Times New Roman" w:hAnsi="Times New Roman" w:cs="Times New Roman"/>
              </w:rPr>
              <w:t>to guide future work and</w:t>
            </w:r>
            <w:r w:rsidR="00555703">
              <w:rPr>
                <w:rFonts w:ascii="Times New Roman" w:hAnsi="Times New Roman" w:cs="Times New Roman"/>
              </w:rPr>
              <w:t xml:space="preserve"> to address</w:t>
            </w:r>
            <w:r w:rsidR="005161CA">
              <w:rPr>
                <w:rFonts w:ascii="Times New Roman" w:hAnsi="Times New Roman" w:cs="Times New Roman"/>
              </w:rPr>
              <w:t xml:space="preserve"> the need</w:t>
            </w:r>
            <w:r w:rsidR="00555703">
              <w:rPr>
                <w:rFonts w:ascii="Times New Roman" w:hAnsi="Times New Roman" w:cs="Times New Roman"/>
              </w:rPr>
              <w:t xml:space="preserve"> for more collaboration</w:t>
            </w:r>
            <w:r w:rsidR="005161CA">
              <w:rPr>
                <w:rFonts w:ascii="Times New Roman" w:hAnsi="Times New Roman" w:cs="Times New Roman"/>
              </w:rPr>
              <w:t xml:space="preserve"> to stabilize </w:t>
            </w:r>
            <w:r w:rsidR="00555703">
              <w:rPr>
                <w:rFonts w:ascii="Times New Roman" w:hAnsi="Times New Roman" w:cs="Times New Roman"/>
              </w:rPr>
              <w:t xml:space="preserve">the membership within the teams. See attached Action Team Status Update for June 2014 for further details on the status of each action team and future plans. </w:t>
            </w:r>
          </w:p>
        </w:tc>
      </w:tr>
      <w:tr w:rsidR="00962B25" w:rsidRPr="0038033E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</w:rPr>
              <w:t>Support for Stakeholder Engagement and Linkages</w:t>
            </w:r>
          </w:p>
        </w:tc>
        <w:tc>
          <w:tcPr>
            <w:tcW w:w="900" w:type="dxa"/>
          </w:tcPr>
          <w:p w:rsidR="00962B25" w:rsidRPr="00CF7934" w:rsidRDefault="002C5E15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032318" w:rsidRPr="00CF7934" w:rsidRDefault="009B79C8" w:rsidP="0003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UIC’s </w:t>
            </w:r>
            <w:r w:rsidR="00410EB9">
              <w:rPr>
                <w:rFonts w:ascii="Times New Roman" w:hAnsi="Times New Roman" w:cs="Times New Roman"/>
              </w:rPr>
              <w:t>T</w:t>
            </w:r>
            <w:r w:rsidR="0072039D">
              <w:rPr>
                <w:rFonts w:ascii="Times New Roman" w:hAnsi="Times New Roman" w:cs="Times New Roman"/>
              </w:rPr>
              <w:t xml:space="preserve">echnical </w:t>
            </w:r>
            <w:r w:rsidR="00410EB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</w:t>
            </w:r>
            <w:r w:rsidR="005E3D08">
              <w:rPr>
                <w:rFonts w:ascii="Times New Roman" w:hAnsi="Times New Roman" w:cs="Times New Roman"/>
              </w:rPr>
              <w:t>sistant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2318">
              <w:rPr>
                <w:rFonts w:ascii="Times New Roman" w:hAnsi="Times New Roman" w:cs="Times New Roman"/>
              </w:rPr>
              <w:t xml:space="preserve">(TA) </w:t>
            </w:r>
            <w:r w:rsidR="0072039D">
              <w:rPr>
                <w:rFonts w:ascii="Times New Roman" w:hAnsi="Times New Roman" w:cs="Times New Roman"/>
              </w:rPr>
              <w:t>continue</w:t>
            </w:r>
            <w:r w:rsidR="00555703">
              <w:rPr>
                <w:rFonts w:ascii="Times New Roman" w:hAnsi="Times New Roman" w:cs="Times New Roman"/>
              </w:rPr>
              <w:t>d</w:t>
            </w:r>
            <w:r w:rsidR="0072039D">
              <w:rPr>
                <w:rFonts w:ascii="Times New Roman" w:hAnsi="Times New Roman" w:cs="Times New Roman"/>
              </w:rPr>
              <w:t xml:space="preserve"> to help teams </w:t>
            </w:r>
            <w:r w:rsidR="005E3D08">
              <w:rPr>
                <w:rFonts w:ascii="Times New Roman" w:hAnsi="Times New Roman" w:cs="Times New Roman"/>
              </w:rPr>
              <w:t>re-</w:t>
            </w:r>
            <w:r w:rsidR="0072039D">
              <w:rPr>
                <w:rFonts w:ascii="Times New Roman" w:hAnsi="Times New Roman" w:cs="Times New Roman"/>
              </w:rPr>
              <w:t>engage stakeholders with a vari</w:t>
            </w:r>
            <w:r w:rsidR="00555703">
              <w:rPr>
                <w:rFonts w:ascii="Times New Roman" w:hAnsi="Times New Roman" w:cs="Times New Roman"/>
              </w:rPr>
              <w:t xml:space="preserve">ety of strategies including </w:t>
            </w:r>
            <w:r w:rsidR="005E35E5">
              <w:rPr>
                <w:rFonts w:ascii="Times New Roman" w:hAnsi="Times New Roman" w:cs="Times New Roman"/>
              </w:rPr>
              <w:t xml:space="preserve">direct </w:t>
            </w:r>
            <w:r w:rsidR="005E3D08">
              <w:rPr>
                <w:rFonts w:ascii="Times New Roman" w:hAnsi="Times New Roman" w:cs="Times New Roman"/>
              </w:rPr>
              <w:t>outreach</w:t>
            </w:r>
            <w:r w:rsidR="005E35E5">
              <w:rPr>
                <w:rFonts w:ascii="Times New Roman" w:hAnsi="Times New Roman" w:cs="Times New Roman"/>
              </w:rPr>
              <w:t xml:space="preserve"> (phones calls, emails, site visits)</w:t>
            </w:r>
            <w:r w:rsidR="0072039D">
              <w:rPr>
                <w:rFonts w:ascii="Times New Roman" w:hAnsi="Times New Roman" w:cs="Times New Roman"/>
              </w:rPr>
              <w:t xml:space="preserve">, holding monthly meetings at partner agencies, </w:t>
            </w:r>
            <w:r w:rsidR="005E3D08">
              <w:rPr>
                <w:rFonts w:ascii="Times New Roman" w:hAnsi="Times New Roman" w:cs="Times New Roman"/>
              </w:rPr>
              <w:t xml:space="preserve">and ensuring that </w:t>
            </w:r>
            <w:r w:rsidR="00555703">
              <w:rPr>
                <w:rFonts w:ascii="Times New Roman" w:hAnsi="Times New Roman" w:cs="Times New Roman"/>
              </w:rPr>
              <w:t xml:space="preserve">the </w:t>
            </w:r>
            <w:r w:rsidR="005E3D08">
              <w:rPr>
                <w:rFonts w:ascii="Times New Roman" w:hAnsi="Times New Roman" w:cs="Times New Roman"/>
              </w:rPr>
              <w:t>PEP website contains the most up to date information on each of the teams</w:t>
            </w:r>
            <w:r w:rsidR="00032318">
              <w:rPr>
                <w:rFonts w:ascii="Times New Roman" w:hAnsi="Times New Roman" w:cs="Times New Roman"/>
              </w:rPr>
              <w:t>.</w:t>
            </w:r>
          </w:p>
        </w:tc>
      </w:tr>
      <w:tr w:rsidR="00962B25" w:rsidRPr="0038033E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</w:rPr>
              <w:t>General Troubleshooting</w:t>
            </w:r>
          </w:p>
        </w:tc>
        <w:tc>
          <w:tcPr>
            <w:tcW w:w="900" w:type="dxa"/>
          </w:tcPr>
          <w:p w:rsidR="00962B25" w:rsidRPr="00CF7934" w:rsidRDefault="002C5E15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5E35E5" w:rsidRPr="00CF7934" w:rsidRDefault="00555703" w:rsidP="00555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 continued</w:t>
            </w:r>
            <w:r w:rsidR="00032318">
              <w:rPr>
                <w:rFonts w:ascii="Times New Roman" w:hAnsi="Times New Roman" w:cs="Times New Roman"/>
              </w:rPr>
              <w:t xml:space="preserve"> efforts to re-engage the three inactive Action Teams; </w:t>
            </w:r>
            <w:r w:rsidR="005E35E5">
              <w:rPr>
                <w:rFonts w:ascii="Times New Roman" w:hAnsi="Times New Roman" w:cs="Times New Roman"/>
              </w:rPr>
              <w:t xml:space="preserve">with the help of some former members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5E35E5">
              <w:rPr>
                <w:rFonts w:ascii="Times New Roman" w:hAnsi="Times New Roman" w:cs="Times New Roman"/>
              </w:rPr>
              <w:t xml:space="preserve">LAN 57, 58, 60 Action Team, LAN 60 (led by Rick </w:t>
            </w:r>
            <w:proofErr w:type="spellStart"/>
            <w:r w:rsidR="005E35E5">
              <w:rPr>
                <w:rFonts w:ascii="Times New Roman" w:hAnsi="Times New Roman" w:cs="Times New Roman"/>
              </w:rPr>
              <w:t>Tangedahl</w:t>
            </w:r>
            <w:proofErr w:type="spellEnd"/>
            <w:r w:rsidR="005E35E5">
              <w:rPr>
                <w:rFonts w:ascii="Times New Roman" w:hAnsi="Times New Roman" w:cs="Times New Roman"/>
              </w:rPr>
              <w:t>) has agreed to absorb the action team along with the</w:t>
            </w:r>
            <w:r w:rsidR="00032318">
              <w:rPr>
                <w:rFonts w:ascii="Times New Roman" w:hAnsi="Times New Roman" w:cs="Times New Roman"/>
              </w:rPr>
              <w:t xml:space="preserve"> LAN 75 </w:t>
            </w:r>
            <w:r w:rsidR="005E35E5">
              <w:rPr>
                <w:rFonts w:ascii="Times New Roman" w:hAnsi="Times New Roman" w:cs="Times New Roman"/>
              </w:rPr>
              <w:t xml:space="preserve">action team beginning in August 2014. They will follow the model being used by South Suburban whereby the Action Team is a subcommittee of the LAN. </w:t>
            </w:r>
            <w:r>
              <w:rPr>
                <w:rFonts w:ascii="Times New Roman" w:hAnsi="Times New Roman" w:cs="Times New Roman"/>
              </w:rPr>
              <w:t xml:space="preserve">In addition, the 1911 Action Team </w:t>
            </w:r>
            <w:r w:rsidR="005E35E5">
              <w:rPr>
                <w:rFonts w:ascii="Times New Roman" w:hAnsi="Times New Roman" w:cs="Times New Roman"/>
              </w:rPr>
              <w:t>has begun to meet again and is still being chaired by Derrick Faulkner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2B25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</w:tr>
      <w:tr w:rsidR="00647C54" w:rsidRPr="0038033E">
        <w:tc>
          <w:tcPr>
            <w:tcW w:w="13968" w:type="dxa"/>
            <w:gridSpan w:val="3"/>
          </w:tcPr>
          <w:p w:rsidR="00647C54" w:rsidRPr="00CF7934" w:rsidRDefault="00647C54" w:rsidP="0038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934">
              <w:rPr>
                <w:rFonts w:ascii="Times New Roman" w:hAnsi="Times New Roman" w:cs="Times New Roman"/>
                <w:b/>
              </w:rPr>
              <w:t>Targeted Support for “High-Need” Action Teams</w:t>
            </w:r>
          </w:p>
        </w:tc>
      </w:tr>
      <w:tr w:rsidR="00962B25" w:rsidRPr="0038033E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</w:rPr>
              <w:t>Support for race-informed, culturally responsive child welfare practice</w:t>
            </w:r>
          </w:p>
        </w:tc>
        <w:tc>
          <w:tcPr>
            <w:tcW w:w="900" w:type="dxa"/>
          </w:tcPr>
          <w:p w:rsidR="00962B25" w:rsidRPr="00CF7934" w:rsidRDefault="00074F22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F74116" w:rsidRDefault="00A801BA" w:rsidP="006A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Progressive </w:t>
            </w:r>
            <w:r w:rsidR="00EE6AF1">
              <w:rPr>
                <w:rFonts w:ascii="Times New Roman" w:hAnsi="Times New Roman" w:cs="Times New Roman"/>
              </w:rPr>
              <w:t>P</w:t>
            </w:r>
            <w:r w:rsidR="001D539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rtners Action</w:t>
            </w:r>
            <w:r w:rsidR="001D5399">
              <w:rPr>
                <w:rFonts w:ascii="Times New Roman" w:hAnsi="Times New Roman" w:cs="Times New Roman"/>
              </w:rPr>
              <w:t xml:space="preserve"> Team </w:t>
            </w:r>
            <w:r w:rsidR="005E35E5">
              <w:rPr>
                <w:rFonts w:ascii="Times New Roman" w:hAnsi="Times New Roman" w:cs="Times New Roman"/>
              </w:rPr>
              <w:t>received the preliminary report from the</w:t>
            </w:r>
            <w:r w:rsidR="001D5399">
              <w:rPr>
                <w:rFonts w:ascii="Times New Roman" w:hAnsi="Times New Roman" w:cs="Times New Roman"/>
              </w:rPr>
              <w:t xml:space="preserve"> African American Family Commission on the survey results regarding fictive kin.</w:t>
            </w:r>
            <w:r w:rsidR="00B65EB5">
              <w:rPr>
                <w:rFonts w:ascii="Times New Roman" w:hAnsi="Times New Roman" w:cs="Times New Roman"/>
              </w:rPr>
              <w:t xml:space="preserve"> </w:t>
            </w:r>
            <w:r w:rsidR="005E35E5">
              <w:rPr>
                <w:rFonts w:ascii="Times New Roman" w:hAnsi="Times New Roman" w:cs="Times New Roman"/>
              </w:rPr>
              <w:t xml:space="preserve">The team is working </w:t>
            </w:r>
            <w:r w:rsidR="005E35E5">
              <w:rPr>
                <w:rFonts w:ascii="Times New Roman" w:hAnsi="Times New Roman" w:cs="Times New Roman"/>
              </w:rPr>
              <w:lastRenderedPageBreak/>
              <w:t xml:space="preserve">through Rochelle Crump to secure the final report so that they can </w:t>
            </w:r>
            <w:proofErr w:type="gramStart"/>
            <w:r w:rsidR="005E35E5">
              <w:rPr>
                <w:rFonts w:ascii="Times New Roman" w:hAnsi="Times New Roman" w:cs="Times New Roman"/>
              </w:rPr>
              <w:t>began</w:t>
            </w:r>
            <w:proofErr w:type="gramEnd"/>
            <w:r w:rsidR="005E35E5">
              <w:rPr>
                <w:rFonts w:ascii="Times New Roman" w:hAnsi="Times New Roman" w:cs="Times New Roman"/>
              </w:rPr>
              <w:t xml:space="preserve"> strategic planning for the next fiscal year</w:t>
            </w:r>
            <w:r w:rsidR="00555703">
              <w:rPr>
                <w:rFonts w:ascii="Times New Roman" w:hAnsi="Times New Roman" w:cs="Times New Roman"/>
              </w:rPr>
              <w:t>.</w:t>
            </w:r>
            <w:r w:rsidR="005E35E5">
              <w:rPr>
                <w:rFonts w:ascii="Times New Roman" w:hAnsi="Times New Roman" w:cs="Times New Roman"/>
              </w:rPr>
              <w:t xml:space="preserve"> </w:t>
            </w:r>
          </w:p>
          <w:p w:rsidR="005E35E5" w:rsidRDefault="005E35E5" w:rsidP="006A26B9">
            <w:pPr>
              <w:rPr>
                <w:rFonts w:ascii="Times New Roman" w:hAnsi="Times New Roman" w:cs="Times New Roman"/>
              </w:rPr>
            </w:pPr>
          </w:p>
          <w:p w:rsidR="009863EE" w:rsidRDefault="005E35E5" w:rsidP="00F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Takes a Village </w:t>
            </w:r>
            <w:r w:rsidR="00555703">
              <w:rPr>
                <w:rFonts w:ascii="Times New Roman" w:hAnsi="Times New Roman" w:cs="Times New Roman"/>
              </w:rPr>
              <w:t xml:space="preserve">Action Team’s </w:t>
            </w:r>
            <w:r w:rsidR="00C84EDB">
              <w:rPr>
                <w:rFonts w:ascii="Times New Roman" w:hAnsi="Times New Roman" w:cs="Times New Roman"/>
              </w:rPr>
              <w:t xml:space="preserve">Birth </w:t>
            </w:r>
            <w:r>
              <w:rPr>
                <w:rFonts w:ascii="Times New Roman" w:hAnsi="Times New Roman" w:cs="Times New Roman"/>
              </w:rPr>
              <w:t xml:space="preserve">Parent Guides have been printed. The team is working to secure final approval from DCFS Communication before distributing them. The team is also awaiting results of their </w:t>
            </w:r>
            <w:r w:rsidR="00555703">
              <w:rPr>
                <w:rFonts w:ascii="Times New Roman" w:hAnsi="Times New Roman" w:cs="Times New Roman"/>
              </w:rPr>
              <w:t>Birth Parent S</w:t>
            </w:r>
            <w:r>
              <w:rPr>
                <w:rFonts w:ascii="Times New Roman" w:hAnsi="Times New Roman" w:cs="Times New Roman"/>
              </w:rPr>
              <w:t xml:space="preserve">urvey from the African American Family Commission. They would like to </w:t>
            </w:r>
            <w:r w:rsidR="00C84EDB">
              <w:rPr>
                <w:rFonts w:ascii="Times New Roman" w:hAnsi="Times New Roman" w:cs="Times New Roman"/>
              </w:rPr>
              <w:t>host a town hall meeting with Birth Parent</w:t>
            </w:r>
            <w:r w:rsidR="00555703">
              <w:rPr>
                <w:rFonts w:ascii="Times New Roman" w:hAnsi="Times New Roman" w:cs="Times New Roman"/>
              </w:rPr>
              <w:t>s</w:t>
            </w:r>
            <w:r w:rsidR="00C84EDB">
              <w:rPr>
                <w:rFonts w:ascii="Times New Roman" w:hAnsi="Times New Roman" w:cs="Times New Roman"/>
              </w:rPr>
              <w:t xml:space="preserve"> to debut the Birth Parent Guide, as well as the results of the survey. </w:t>
            </w:r>
          </w:p>
          <w:p w:rsidR="00C84EDB" w:rsidRDefault="00C84EDB" w:rsidP="00F74116">
            <w:pPr>
              <w:rPr>
                <w:rFonts w:ascii="Times New Roman" w:hAnsi="Times New Roman" w:cs="Times New Roman"/>
              </w:rPr>
            </w:pPr>
          </w:p>
          <w:p w:rsidR="00C84EDB" w:rsidRDefault="00C84EDB" w:rsidP="00F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Chicago Northside Families Safety Net Action </w:t>
            </w:r>
            <w:r w:rsidR="00555703">
              <w:rPr>
                <w:rFonts w:ascii="Times New Roman" w:hAnsi="Times New Roman" w:cs="Times New Roman"/>
              </w:rPr>
              <w:t>Team has</w:t>
            </w:r>
            <w:r>
              <w:rPr>
                <w:rFonts w:ascii="Times New Roman" w:hAnsi="Times New Roman" w:cs="Times New Roman"/>
              </w:rPr>
              <w:t xml:space="preserve"> successfully completed Statewide Database Training in order to provide their community partners with needed access to resources. Additionally, they have compl</w:t>
            </w:r>
            <w:r w:rsidR="00555703">
              <w:rPr>
                <w:rFonts w:ascii="Times New Roman" w:hAnsi="Times New Roman" w:cs="Times New Roman"/>
              </w:rPr>
              <w:t>eted Parent Café training and are</w:t>
            </w:r>
            <w:r>
              <w:rPr>
                <w:rFonts w:ascii="Times New Roman" w:hAnsi="Times New Roman" w:cs="Times New Roman"/>
              </w:rPr>
              <w:t xml:space="preserve"> currently working with one of their community partners to co-host. The team plans to survey current and former Action Team members in order to plan the future direction of the team and to increase participation levels.</w:t>
            </w:r>
          </w:p>
          <w:p w:rsidR="00C84EDB" w:rsidRDefault="00C84EDB" w:rsidP="00F74116">
            <w:pPr>
              <w:rPr>
                <w:rFonts w:ascii="Times New Roman" w:hAnsi="Times New Roman" w:cs="Times New Roman"/>
              </w:rPr>
            </w:pPr>
          </w:p>
          <w:p w:rsidR="00C84EDB" w:rsidRDefault="00555703" w:rsidP="00F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C84EDB">
              <w:rPr>
                <w:rFonts w:ascii="Times New Roman" w:hAnsi="Times New Roman" w:cs="Times New Roman"/>
              </w:rPr>
              <w:t>South Suburban</w:t>
            </w:r>
            <w:r>
              <w:rPr>
                <w:rFonts w:ascii="Times New Roman" w:hAnsi="Times New Roman" w:cs="Times New Roman"/>
              </w:rPr>
              <w:t xml:space="preserve"> Action Team</w:t>
            </w:r>
            <w:r w:rsidR="00C84EDB">
              <w:rPr>
                <w:rFonts w:ascii="Times New Roman" w:hAnsi="Times New Roman" w:cs="Times New Roman"/>
              </w:rPr>
              <w:t xml:space="preserve"> is looking into acquiring funding in order to continue with being able to provide wrap around services to the community. </w:t>
            </w:r>
          </w:p>
          <w:p w:rsidR="00C84EDB" w:rsidRDefault="00C84EDB" w:rsidP="00F74116">
            <w:pPr>
              <w:rPr>
                <w:rFonts w:ascii="Times New Roman" w:hAnsi="Times New Roman" w:cs="Times New Roman"/>
              </w:rPr>
            </w:pPr>
          </w:p>
          <w:p w:rsidR="00586AD0" w:rsidRDefault="00555703" w:rsidP="00F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586AD0">
              <w:rPr>
                <w:rFonts w:ascii="Times New Roman" w:hAnsi="Times New Roman" w:cs="Times New Roman"/>
              </w:rPr>
              <w:t>LAN 67</w:t>
            </w:r>
            <w:r w:rsidR="006141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Action Team </w:t>
            </w:r>
            <w:r w:rsidR="00614186">
              <w:rPr>
                <w:rFonts w:ascii="Times New Roman" w:hAnsi="Times New Roman" w:cs="Times New Roman"/>
              </w:rPr>
              <w:t xml:space="preserve">continues to serve as a resource clearing house </w:t>
            </w:r>
            <w:r w:rsidR="00165223">
              <w:rPr>
                <w:rFonts w:ascii="Times New Roman" w:hAnsi="Times New Roman" w:cs="Times New Roman"/>
              </w:rPr>
              <w:t>for the communities it serves</w:t>
            </w:r>
            <w:r w:rsidR="00614186">
              <w:rPr>
                <w:rFonts w:ascii="Times New Roman" w:hAnsi="Times New Roman" w:cs="Times New Roman"/>
              </w:rPr>
              <w:t xml:space="preserve">. The team is </w:t>
            </w:r>
            <w:r w:rsidR="00165223">
              <w:rPr>
                <w:rFonts w:ascii="Times New Roman" w:hAnsi="Times New Roman" w:cs="Times New Roman"/>
              </w:rPr>
              <w:t xml:space="preserve">currently looking at ways to use social media to help in this effort. </w:t>
            </w:r>
          </w:p>
          <w:p w:rsidR="00165223" w:rsidRDefault="00165223" w:rsidP="00F74116">
            <w:pPr>
              <w:rPr>
                <w:rFonts w:ascii="Times New Roman" w:hAnsi="Times New Roman" w:cs="Times New Roman"/>
              </w:rPr>
            </w:pPr>
          </w:p>
          <w:p w:rsidR="00F74116" w:rsidRDefault="00C84EDB" w:rsidP="00F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of the Action </w:t>
            </w:r>
            <w:r w:rsidR="00F74116">
              <w:rPr>
                <w:rFonts w:ascii="Times New Roman" w:hAnsi="Times New Roman" w:cs="Times New Roman"/>
              </w:rPr>
              <w:t>Te</w:t>
            </w:r>
            <w:r w:rsidR="00B65EB5">
              <w:rPr>
                <w:rFonts w:ascii="Times New Roman" w:hAnsi="Times New Roman" w:cs="Times New Roman"/>
              </w:rPr>
              <w:t xml:space="preserve">ams </w:t>
            </w:r>
            <w:r w:rsidR="00F74116">
              <w:rPr>
                <w:rFonts w:ascii="Times New Roman" w:hAnsi="Times New Roman" w:cs="Times New Roman"/>
              </w:rPr>
              <w:t xml:space="preserve">have discussed </w:t>
            </w:r>
            <w:r w:rsidR="00555703">
              <w:rPr>
                <w:rFonts w:ascii="Times New Roman" w:hAnsi="Times New Roman" w:cs="Times New Roman"/>
              </w:rPr>
              <w:t>their</w:t>
            </w:r>
            <w:r>
              <w:rPr>
                <w:rFonts w:ascii="Times New Roman" w:hAnsi="Times New Roman" w:cs="Times New Roman"/>
              </w:rPr>
              <w:t xml:space="preserve"> struggles with engaging community members and getting them to the table, specifically the justice system, law enforcement</w:t>
            </w:r>
            <w:r w:rsidR="005557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EB3371">
              <w:rPr>
                <w:rFonts w:ascii="Times New Roman" w:hAnsi="Times New Roman" w:cs="Times New Roman"/>
              </w:rPr>
              <w:t>school s</w:t>
            </w:r>
            <w:r>
              <w:rPr>
                <w:rFonts w:ascii="Times New Roman" w:hAnsi="Times New Roman" w:cs="Times New Roman"/>
              </w:rPr>
              <w:t>taff</w:t>
            </w:r>
            <w:r w:rsidR="00EB3371">
              <w:rPr>
                <w:rFonts w:ascii="Times New Roman" w:hAnsi="Times New Roman" w:cs="Times New Roman"/>
              </w:rPr>
              <w:t>. The Action Teams</w:t>
            </w:r>
            <w:r w:rsidR="00555703">
              <w:rPr>
                <w:rFonts w:ascii="Times New Roman" w:hAnsi="Times New Roman" w:cs="Times New Roman"/>
              </w:rPr>
              <w:t>’</w:t>
            </w:r>
            <w:r w:rsidR="00EB3371">
              <w:rPr>
                <w:rFonts w:ascii="Times New Roman" w:hAnsi="Times New Roman" w:cs="Times New Roman"/>
              </w:rPr>
              <w:t xml:space="preserve"> </w:t>
            </w:r>
            <w:r w:rsidR="00C84B35">
              <w:rPr>
                <w:rFonts w:ascii="Times New Roman" w:hAnsi="Times New Roman" w:cs="Times New Roman"/>
              </w:rPr>
              <w:t>have comm</w:t>
            </w:r>
            <w:r w:rsidR="00614186">
              <w:rPr>
                <w:rFonts w:ascii="Times New Roman" w:hAnsi="Times New Roman" w:cs="Times New Roman"/>
              </w:rPr>
              <w:t xml:space="preserve">itted to using the most recent data </w:t>
            </w:r>
            <w:r w:rsidR="00EB3371">
              <w:rPr>
                <w:rFonts w:ascii="Times New Roman" w:hAnsi="Times New Roman" w:cs="Times New Roman"/>
              </w:rPr>
              <w:t xml:space="preserve">from DCFS reports to drive </w:t>
            </w:r>
            <w:r w:rsidR="00C84B35">
              <w:rPr>
                <w:rFonts w:ascii="Times New Roman" w:hAnsi="Times New Roman" w:cs="Times New Roman"/>
              </w:rPr>
              <w:t>strategic planning for the upcoming fiscal year.</w:t>
            </w:r>
          </w:p>
          <w:p w:rsidR="0001527B" w:rsidRDefault="0001527B" w:rsidP="00F74116">
            <w:pPr>
              <w:rPr>
                <w:rFonts w:ascii="Times New Roman" w:hAnsi="Times New Roman" w:cs="Times New Roman"/>
              </w:rPr>
            </w:pPr>
          </w:p>
          <w:p w:rsidR="0001527B" w:rsidRPr="00CF7934" w:rsidRDefault="0001527B" w:rsidP="00F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addition, Dr. Dettlaff met several times throughout the year with the PEP Data subcommittee to identify strategies to improve the data available to the action teams to further </w:t>
            </w:r>
            <w:r>
              <w:rPr>
                <w:rFonts w:ascii="Times New Roman" w:hAnsi="Times New Roman" w:cs="Times New Roman"/>
              </w:rPr>
              <w:lastRenderedPageBreak/>
              <w:t xml:space="preserve">support the goals of this project. </w:t>
            </w:r>
          </w:p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</w:tr>
      <w:tr w:rsidR="002A2822" w:rsidRPr="0038033E">
        <w:tc>
          <w:tcPr>
            <w:tcW w:w="13968" w:type="dxa"/>
            <w:gridSpan w:val="3"/>
          </w:tcPr>
          <w:p w:rsidR="00D3608C" w:rsidRPr="00CF7934" w:rsidRDefault="002A2822" w:rsidP="00962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934">
              <w:rPr>
                <w:rFonts w:ascii="Times New Roman" w:hAnsi="Times New Roman" w:cs="Times New Roman"/>
                <w:b/>
              </w:rPr>
              <w:lastRenderedPageBreak/>
              <w:t xml:space="preserve">Evaluation Services (Statewide and/or Regional): </w:t>
            </w:r>
          </w:p>
          <w:p w:rsidR="002A2822" w:rsidRPr="00CF7934" w:rsidRDefault="002A2822" w:rsidP="00962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934">
              <w:rPr>
                <w:rFonts w:ascii="Times New Roman" w:hAnsi="Times New Roman" w:cs="Times New Roman"/>
              </w:rPr>
              <w:t>Examine the following research questions using a series of qualitative and quantitative evaluation techniques:</w:t>
            </w:r>
          </w:p>
        </w:tc>
      </w:tr>
      <w:tr w:rsidR="00962B25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  <w:u w:val="single"/>
              </w:rPr>
              <w:t>Question 1</w:t>
            </w:r>
            <w:r w:rsidRPr="00CF7934">
              <w:rPr>
                <w:rFonts w:ascii="Times New Roman" w:hAnsi="Times New Roman" w:cs="Times New Roman"/>
              </w:rPr>
              <w:t xml:space="preserve">:To what extent are diverse sectors of community stakeholder groups represented and engaged with Local Permanency Enhancement Action Teams? </w:t>
            </w:r>
          </w:p>
        </w:tc>
        <w:tc>
          <w:tcPr>
            <w:tcW w:w="900" w:type="dxa"/>
          </w:tcPr>
          <w:p w:rsidR="00962B25" w:rsidRPr="00CF7934" w:rsidRDefault="004B5040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962B25" w:rsidRPr="00CF7934" w:rsidRDefault="00586AD0" w:rsidP="00586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1D580D">
              <w:rPr>
                <w:rFonts w:ascii="Times New Roman" w:hAnsi="Times New Roman" w:cs="Times New Roman"/>
              </w:rPr>
              <w:t>six</w:t>
            </w:r>
            <w:r w:rsidR="00A17730">
              <w:rPr>
                <w:rFonts w:ascii="Times New Roman" w:hAnsi="Times New Roman" w:cs="Times New Roman"/>
              </w:rPr>
              <w:t xml:space="preserve"> </w:t>
            </w:r>
            <w:r w:rsidR="0001527B">
              <w:rPr>
                <w:rFonts w:ascii="Times New Roman" w:hAnsi="Times New Roman" w:cs="Times New Roman"/>
              </w:rPr>
              <w:t>action</w:t>
            </w:r>
            <w:r>
              <w:rPr>
                <w:rFonts w:ascii="Times New Roman" w:hAnsi="Times New Roman" w:cs="Times New Roman"/>
              </w:rPr>
              <w:t xml:space="preserve"> teams </w:t>
            </w:r>
            <w:r w:rsidR="001D580D">
              <w:rPr>
                <w:rFonts w:ascii="Times New Roman" w:hAnsi="Times New Roman" w:cs="Times New Roman"/>
              </w:rPr>
              <w:t>have</w:t>
            </w:r>
            <w:r>
              <w:rPr>
                <w:rFonts w:ascii="Times New Roman" w:hAnsi="Times New Roman" w:cs="Times New Roman"/>
              </w:rPr>
              <w:t xml:space="preserve"> been meeting monthly during this period in a combination of in-</w:t>
            </w:r>
            <w:r w:rsidR="001D580D">
              <w:rPr>
                <w:rFonts w:ascii="Times New Roman" w:hAnsi="Times New Roman" w:cs="Times New Roman"/>
              </w:rPr>
              <w:t>person and conference call meetings. Meeting</w:t>
            </w:r>
            <w:r w:rsidR="0001527B">
              <w:rPr>
                <w:rFonts w:ascii="Times New Roman" w:hAnsi="Times New Roman" w:cs="Times New Roman"/>
              </w:rPr>
              <w:t>s</w:t>
            </w:r>
            <w:r w:rsidR="001D580D">
              <w:rPr>
                <w:rFonts w:ascii="Times New Roman" w:hAnsi="Times New Roman" w:cs="Times New Roman"/>
              </w:rPr>
              <w:t xml:space="preserve"> have been attended by core members of each Action Team</w:t>
            </w:r>
            <w:r>
              <w:rPr>
                <w:rFonts w:ascii="Times New Roman" w:hAnsi="Times New Roman" w:cs="Times New Roman"/>
              </w:rPr>
              <w:t xml:space="preserve"> and some new members</w:t>
            </w:r>
            <w:r w:rsidR="001D580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D580D">
              <w:rPr>
                <w:rFonts w:ascii="Times New Roman" w:hAnsi="Times New Roman" w:cs="Times New Roman"/>
              </w:rPr>
              <w:t>however  each</w:t>
            </w:r>
            <w:proofErr w:type="gramEnd"/>
            <w:r w:rsidR="001D580D">
              <w:rPr>
                <w:rFonts w:ascii="Times New Roman" w:hAnsi="Times New Roman" w:cs="Times New Roman"/>
              </w:rPr>
              <w:t xml:space="preserve"> team recognizes the need to have p</w:t>
            </w:r>
            <w:r w:rsidR="00A0550B">
              <w:rPr>
                <w:rFonts w:ascii="Times New Roman" w:hAnsi="Times New Roman" w:cs="Times New Roman"/>
              </w:rPr>
              <w:t>ersonnel from the courts, health and law enforcement</w:t>
            </w:r>
            <w:r w:rsidR="001D580D">
              <w:rPr>
                <w:rFonts w:ascii="Times New Roman" w:hAnsi="Times New Roman" w:cs="Times New Roman"/>
              </w:rPr>
              <w:t xml:space="preserve">, as well as </w:t>
            </w:r>
            <w:r w:rsidR="00A0550B">
              <w:rPr>
                <w:rFonts w:ascii="Times New Roman" w:hAnsi="Times New Roman" w:cs="Times New Roman"/>
              </w:rPr>
              <w:t>staff members from DCFS, POS agencies and community-based organizations.</w:t>
            </w:r>
            <w:r w:rsidR="001D58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2B25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</w:tr>
      <w:tr w:rsidR="00962B25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  <w:bCs/>
                <w:u w:val="single"/>
              </w:rPr>
              <w:t>Question 2</w:t>
            </w:r>
            <w:r w:rsidRPr="00CF7934">
              <w:rPr>
                <w:rFonts w:ascii="Times New Roman" w:hAnsi="Times New Roman" w:cs="Times New Roman"/>
                <w:b/>
                <w:bCs/>
              </w:rPr>
              <w:t>:</w:t>
            </w:r>
            <w:r w:rsidR="001D58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7934">
              <w:rPr>
                <w:rFonts w:ascii="Times New Roman" w:hAnsi="Times New Roman" w:cs="Times New Roman"/>
                <w:iCs/>
              </w:rPr>
              <w:t xml:space="preserve">To what extent have stakeholder and staff </w:t>
            </w:r>
            <w:r w:rsidRPr="00CF7934">
              <w:rPr>
                <w:rFonts w:ascii="Times New Roman" w:hAnsi="Times New Roman" w:cs="Times New Roman"/>
                <w:bCs/>
                <w:iCs/>
              </w:rPr>
              <w:t xml:space="preserve">attitudes, beliefs and practices </w:t>
            </w:r>
            <w:r w:rsidRPr="00CF7934">
              <w:rPr>
                <w:rFonts w:ascii="Times New Roman" w:hAnsi="Times New Roman" w:cs="Times New Roman"/>
              </w:rPr>
              <w:t xml:space="preserve">changed in ways that promote permanency as a result of PEP Action Team participation? </w:t>
            </w:r>
          </w:p>
        </w:tc>
        <w:tc>
          <w:tcPr>
            <w:tcW w:w="900" w:type="dxa"/>
          </w:tcPr>
          <w:p w:rsidR="00962B25" w:rsidRPr="00CF7934" w:rsidRDefault="00A462BC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410EB9" w:rsidRDefault="00C056ED" w:rsidP="00C0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3010DF">
              <w:rPr>
                <w:rFonts w:ascii="Times New Roman" w:hAnsi="Times New Roman" w:cs="Times New Roman"/>
              </w:rPr>
              <w:t>Action Teams</w:t>
            </w:r>
            <w:r w:rsidR="0041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used DCFS data to develop their strategic plans. This </w:t>
            </w:r>
            <w:r w:rsidR="0001527B">
              <w:rPr>
                <w:rFonts w:ascii="Times New Roman" w:hAnsi="Times New Roman" w:cs="Times New Roman"/>
              </w:rPr>
              <w:t>year</w:t>
            </w:r>
            <w:r>
              <w:rPr>
                <w:rFonts w:ascii="Times New Roman" w:hAnsi="Times New Roman" w:cs="Times New Roman"/>
              </w:rPr>
              <w:t xml:space="preserve"> has focused on re-engaging former members and recruiting new members.  </w:t>
            </w:r>
          </w:p>
          <w:p w:rsidR="00C056ED" w:rsidRPr="00CF7934" w:rsidRDefault="00C056ED" w:rsidP="00C0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team</w:t>
            </w:r>
            <w:r w:rsidR="0001527B">
              <w:rPr>
                <w:rFonts w:ascii="Times New Roman" w:hAnsi="Times New Roman" w:cs="Times New Roman"/>
              </w:rPr>
              <w:t>s have</w:t>
            </w:r>
            <w:r>
              <w:rPr>
                <w:rFonts w:ascii="Times New Roman" w:hAnsi="Times New Roman" w:cs="Times New Roman"/>
              </w:rPr>
              <w:t xml:space="preserve"> also worked on keeping the PEP website up to date</w:t>
            </w:r>
            <w:r w:rsidR="0001527B">
              <w:rPr>
                <w:rFonts w:ascii="Times New Roman" w:hAnsi="Times New Roman" w:cs="Times New Roman"/>
              </w:rPr>
              <w:t>.</w:t>
            </w:r>
          </w:p>
        </w:tc>
      </w:tr>
      <w:tr w:rsidR="00962B25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</w:tr>
      <w:tr w:rsidR="00962B25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  <w:bCs/>
                <w:u w:val="single"/>
              </w:rPr>
              <w:t>Question 3</w:t>
            </w:r>
            <w:r w:rsidRPr="00CF7934">
              <w:rPr>
                <w:rFonts w:ascii="Times New Roman" w:hAnsi="Times New Roman" w:cs="Times New Roman"/>
                <w:bCs/>
              </w:rPr>
              <w:t>:</w:t>
            </w:r>
            <w:r w:rsidR="003010DF">
              <w:rPr>
                <w:rFonts w:ascii="Times New Roman" w:hAnsi="Times New Roman" w:cs="Times New Roman"/>
                <w:bCs/>
              </w:rPr>
              <w:t xml:space="preserve"> </w:t>
            </w:r>
            <w:r w:rsidRPr="00CF7934">
              <w:rPr>
                <w:rFonts w:ascii="Times New Roman" w:hAnsi="Times New Roman" w:cs="Times New Roman"/>
                <w:iCs/>
              </w:rPr>
              <w:t>To what extent have cross-systems collaboration and communication improved as a result of PEP Action Team participation?</w:t>
            </w:r>
          </w:p>
        </w:tc>
        <w:tc>
          <w:tcPr>
            <w:tcW w:w="900" w:type="dxa"/>
          </w:tcPr>
          <w:p w:rsidR="00962B25" w:rsidRPr="00CF7934" w:rsidRDefault="00E31979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E31979" w:rsidRDefault="00E31979" w:rsidP="00E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Suburban Action Team </w:t>
            </w:r>
            <w:r w:rsidR="00C056ED">
              <w:rPr>
                <w:rFonts w:ascii="Times New Roman" w:hAnsi="Times New Roman" w:cs="Times New Roman"/>
              </w:rPr>
              <w:t>has been absorbed into the South Suburban LAN as a subcommittee. Similarly, LAN 60 has agreed to absorb the LAN 57, 58, 60 and LAN 75 Action Teams.</w:t>
            </w:r>
          </w:p>
          <w:p w:rsidR="00962B25" w:rsidRPr="00CF7934" w:rsidRDefault="00C056ED" w:rsidP="00C0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ITAV and Progressive Partners co-chairs have been in talks about ways that they can collaborate or merge in order to maintain sustainability</w:t>
            </w:r>
            <w:r w:rsidR="0001527B">
              <w:rPr>
                <w:rFonts w:ascii="Times New Roman" w:hAnsi="Times New Roman" w:cs="Times New Roman"/>
              </w:rPr>
              <w:t>.</w:t>
            </w:r>
          </w:p>
        </w:tc>
      </w:tr>
      <w:tr w:rsidR="00962B25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</w:tr>
      <w:tr w:rsidR="00962B25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  <w:u w:val="single"/>
              </w:rPr>
              <w:t>Question 4</w:t>
            </w:r>
            <w:r w:rsidRPr="00CF7934">
              <w:rPr>
                <w:rFonts w:ascii="Times New Roman" w:hAnsi="Times New Roman" w:cs="Times New Roman"/>
              </w:rPr>
              <w:t>: To what extent do racial disparities and disproportionate outcomes exist as evidenced by: 1) abuse and neglect reports; 2) total indicated reports; 3) foster care entries, and 4) current children in foster care?</w:t>
            </w:r>
          </w:p>
        </w:tc>
        <w:tc>
          <w:tcPr>
            <w:tcW w:w="900" w:type="dxa"/>
          </w:tcPr>
          <w:p w:rsidR="00962B25" w:rsidRPr="00CF7934" w:rsidRDefault="007722C6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962B25" w:rsidRPr="004B5040" w:rsidRDefault="0001527B" w:rsidP="0007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continue to indicate the presence of racial disparities at most decision points. These disparities are observed primarily for African American children. </w:t>
            </w:r>
          </w:p>
        </w:tc>
      </w:tr>
      <w:tr w:rsidR="00962B25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62B25" w:rsidRPr="004B5040" w:rsidRDefault="00962B25" w:rsidP="006A26B9">
            <w:pPr>
              <w:rPr>
                <w:rFonts w:ascii="Times New Roman" w:hAnsi="Times New Roman" w:cs="Times New Roman"/>
              </w:rPr>
            </w:pPr>
          </w:p>
        </w:tc>
      </w:tr>
      <w:tr w:rsidR="005F1590">
        <w:tc>
          <w:tcPr>
            <w:tcW w:w="7308" w:type="dxa"/>
          </w:tcPr>
          <w:p w:rsidR="005F1590" w:rsidRPr="00CF7934" w:rsidRDefault="005F1590" w:rsidP="007834AA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  <w:u w:val="single"/>
              </w:rPr>
              <w:t>Question 5</w:t>
            </w:r>
            <w:r w:rsidRPr="00CF7934">
              <w:rPr>
                <w:rFonts w:ascii="Times New Roman" w:hAnsi="Times New Roman" w:cs="Times New Roman"/>
              </w:rPr>
              <w:t>: To what extent have racial disparities in foster care entries changed over time (between FY 08-FY</w:t>
            </w:r>
            <w:r w:rsidR="007834AA">
              <w:rPr>
                <w:rFonts w:ascii="Times New Roman" w:hAnsi="Times New Roman" w:cs="Times New Roman"/>
              </w:rPr>
              <w:t>13</w:t>
            </w:r>
            <w:r w:rsidRPr="00CF7934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900" w:type="dxa"/>
          </w:tcPr>
          <w:p w:rsidR="005F1590" w:rsidRPr="00CF7934" w:rsidRDefault="007722C6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5F1590" w:rsidRPr="004B5040" w:rsidRDefault="0001527B" w:rsidP="0007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indicate that although disparities exist, they have slightly decreased since 2008. </w:t>
            </w:r>
          </w:p>
        </w:tc>
      </w:tr>
      <w:tr w:rsidR="00962B25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</w:tr>
      <w:tr w:rsidR="002A2822" w:rsidRPr="002A2822">
        <w:tc>
          <w:tcPr>
            <w:tcW w:w="13968" w:type="dxa"/>
            <w:gridSpan w:val="3"/>
          </w:tcPr>
          <w:p w:rsidR="002A2822" w:rsidRPr="00CF7934" w:rsidRDefault="002A2822" w:rsidP="002A2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934">
              <w:rPr>
                <w:rFonts w:ascii="Times New Roman" w:hAnsi="Times New Roman" w:cs="Times New Roman"/>
                <w:b/>
              </w:rPr>
              <w:t>Statewide University Partner Initiatives</w:t>
            </w:r>
          </w:p>
        </w:tc>
      </w:tr>
      <w:tr w:rsidR="00EE3168">
        <w:tc>
          <w:tcPr>
            <w:tcW w:w="7308" w:type="dxa"/>
          </w:tcPr>
          <w:p w:rsidR="00EE3168" w:rsidRPr="00CF7934" w:rsidRDefault="00EE3168" w:rsidP="00EE3168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</w:rPr>
              <w:t>Develop outcome evaluation measurement tools and data collection protocols</w:t>
            </w:r>
          </w:p>
        </w:tc>
        <w:tc>
          <w:tcPr>
            <w:tcW w:w="900" w:type="dxa"/>
          </w:tcPr>
          <w:p w:rsidR="00EE3168" w:rsidRPr="00CF7934" w:rsidRDefault="008E107B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EE3168" w:rsidRPr="00CF7934" w:rsidRDefault="00D40842" w:rsidP="008E1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six active teams understand the importance of </w:t>
            </w:r>
            <w:r w:rsidR="008E107B">
              <w:rPr>
                <w:rFonts w:ascii="Times New Roman" w:hAnsi="Times New Roman" w:cs="Times New Roman"/>
              </w:rPr>
              <w:t xml:space="preserve">using the VMOSA/logic models to </w:t>
            </w:r>
            <w:r w:rsidR="006B411B">
              <w:rPr>
                <w:rFonts w:ascii="Times New Roman" w:hAnsi="Times New Roman" w:cs="Times New Roman"/>
              </w:rPr>
              <w:t>help them measure the</w:t>
            </w:r>
            <w:r w:rsidR="008E107B">
              <w:rPr>
                <w:rFonts w:ascii="Times New Roman" w:hAnsi="Times New Roman" w:cs="Times New Roman"/>
              </w:rPr>
              <w:t xml:space="preserve"> outcomes and</w:t>
            </w:r>
            <w:r w:rsidR="006B411B">
              <w:rPr>
                <w:rFonts w:ascii="Times New Roman" w:hAnsi="Times New Roman" w:cs="Times New Roman"/>
              </w:rPr>
              <w:t xml:space="preserve"> effectiveness of their activities. </w:t>
            </w:r>
            <w:r w:rsidR="007834AA">
              <w:rPr>
                <w:rFonts w:ascii="Times New Roman" w:hAnsi="Times New Roman" w:cs="Times New Roman"/>
              </w:rPr>
              <w:t xml:space="preserve">Reports continue to show the existence of disproportionality </w:t>
            </w:r>
            <w:r w:rsidR="0001527B">
              <w:rPr>
                <w:rFonts w:ascii="Times New Roman" w:hAnsi="Times New Roman" w:cs="Times New Roman"/>
              </w:rPr>
              <w:t xml:space="preserve">and disparities </w:t>
            </w:r>
            <w:r w:rsidR="007834AA">
              <w:rPr>
                <w:rFonts w:ascii="Times New Roman" w:hAnsi="Times New Roman" w:cs="Times New Roman"/>
              </w:rPr>
              <w:t>within the Cook region</w:t>
            </w:r>
            <w:r w:rsidR="0001527B">
              <w:rPr>
                <w:rFonts w:ascii="Times New Roman" w:hAnsi="Times New Roman" w:cs="Times New Roman"/>
              </w:rPr>
              <w:t>.</w:t>
            </w:r>
          </w:p>
        </w:tc>
      </w:tr>
      <w:tr w:rsidR="00EE3168">
        <w:tc>
          <w:tcPr>
            <w:tcW w:w="7308" w:type="dxa"/>
          </w:tcPr>
          <w:p w:rsidR="00EE3168" w:rsidRPr="00CF7934" w:rsidRDefault="00EE3168" w:rsidP="00EE3168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</w:rPr>
              <w:lastRenderedPageBreak/>
              <w:t>Facilitate statewide and/or national presentations related to the Permanency Enhancement Project at the request of DCFS administrators</w:t>
            </w:r>
          </w:p>
        </w:tc>
        <w:tc>
          <w:tcPr>
            <w:tcW w:w="900" w:type="dxa"/>
          </w:tcPr>
          <w:p w:rsidR="00EE3168" w:rsidRPr="00CF7934" w:rsidRDefault="0001527B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EE3168" w:rsidRPr="00CF7934" w:rsidRDefault="0001527B" w:rsidP="006A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Dettlaff has presented data at area meetings and at the Quarterly Regional Stakeholder meeting.  Dr. Dettlaff also presented at a data summit organized by the Paul Simon Public Policy Institute at Southern Illinois University. </w:t>
            </w:r>
          </w:p>
        </w:tc>
      </w:tr>
      <w:tr w:rsidR="00EE3168">
        <w:tc>
          <w:tcPr>
            <w:tcW w:w="7308" w:type="dxa"/>
          </w:tcPr>
          <w:p w:rsidR="00EE3168" w:rsidRPr="00CF7934" w:rsidRDefault="00EE3168" w:rsidP="00EE3168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</w:rPr>
              <w:t xml:space="preserve">Host annual/semi-annual University Partner Collaborative meetings to share technical assistance strategies, materials, information/problem solving </w:t>
            </w:r>
          </w:p>
        </w:tc>
        <w:tc>
          <w:tcPr>
            <w:tcW w:w="900" w:type="dxa"/>
          </w:tcPr>
          <w:p w:rsidR="00EE3168" w:rsidRPr="00CF7934" w:rsidRDefault="0001527B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EE3168" w:rsidRPr="00CF7934" w:rsidRDefault="0001527B" w:rsidP="006A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Partner meetings were held this year to focus on improving the data provided by DCFS to support the PEP and the Action Teams. </w:t>
            </w:r>
          </w:p>
        </w:tc>
      </w:tr>
      <w:tr w:rsidR="00962B25">
        <w:tc>
          <w:tcPr>
            <w:tcW w:w="7308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962B25" w:rsidRPr="00CF7934" w:rsidRDefault="00962B25" w:rsidP="006A26B9">
            <w:pPr>
              <w:rPr>
                <w:rFonts w:ascii="Times New Roman" w:hAnsi="Times New Roman" w:cs="Times New Roman"/>
              </w:rPr>
            </w:pPr>
          </w:p>
        </w:tc>
      </w:tr>
      <w:tr w:rsidR="00EE3168" w:rsidRPr="00EE3168">
        <w:tc>
          <w:tcPr>
            <w:tcW w:w="13968" w:type="dxa"/>
            <w:gridSpan w:val="3"/>
          </w:tcPr>
          <w:p w:rsidR="00EE3168" w:rsidRPr="00CF7934" w:rsidRDefault="00EE3168" w:rsidP="00CF7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934">
              <w:rPr>
                <w:rFonts w:ascii="Times New Roman" w:hAnsi="Times New Roman" w:cs="Times New Roman"/>
                <w:b/>
              </w:rPr>
              <w:t>Statewide Permanency Enhancement Website</w:t>
            </w:r>
          </w:p>
        </w:tc>
      </w:tr>
      <w:tr w:rsidR="00F0147A">
        <w:tc>
          <w:tcPr>
            <w:tcW w:w="7308" w:type="dxa"/>
          </w:tcPr>
          <w:p w:rsidR="00EE3168" w:rsidRPr="00CF7934" w:rsidRDefault="00CF7934" w:rsidP="006A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EE3168" w:rsidRPr="00CF7934">
              <w:rPr>
                <w:rFonts w:ascii="Times New Roman" w:hAnsi="Times New Roman" w:cs="Times New Roman"/>
              </w:rPr>
              <w:t>ost the PEP statewide website</w:t>
            </w:r>
            <w:r>
              <w:rPr>
                <w:rFonts w:ascii="Times New Roman" w:hAnsi="Times New Roman" w:cs="Times New Roman"/>
              </w:rPr>
              <w:t xml:space="preserve"> (ISU)</w:t>
            </w:r>
          </w:p>
        </w:tc>
        <w:tc>
          <w:tcPr>
            <w:tcW w:w="900" w:type="dxa"/>
          </w:tcPr>
          <w:p w:rsidR="00EE3168" w:rsidRPr="00CF7934" w:rsidRDefault="00EE3168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EE3168" w:rsidRPr="00CF7934" w:rsidRDefault="00EE3168" w:rsidP="006A26B9">
            <w:pPr>
              <w:rPr>
                <w:rFonts w:ascii="Times New Roman" w:hAnsi="Times New Roman" w:cs="Times New Roman"/>
              </w:rPr>
            </w:pPr>
          </w:p>
        </w:tc>
      </w:tr>
      <w:tr w:rsidR="00DD061C">
        <w:tc>
          <w:tcPr>
            <w:tcW w:w="7308" w:type="dxa"/>
          </w:tcPr>
          <w:p w:rsidR="00DD061C" w:rsidRDefault="00DD061C" w:rsidP="006A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Contribute to </w:t>
            </w:r>
            <w:r w:rsidRPr="00CF7934">
              <w:rPr>
                <w:rFonts w:ascii="Times New Roman" w:hAnsi="Times New Roman" w:cs="Times New Roman"/>
              </w:rPr>
              <w:t>the PEP statewide website</w:t>
            </w:r>
            <w:r>
              <w:rPr>
                <w:rFonts w:ascii="Times New Roman" w:hAnsi="Times New Roman" w:cs="Times New Roman"/>
              </w:rPr>
              <w:t xml:space="preserve"> (all university partners)</w:t>
            </w:r>
          </w:p>
        </w:tc>
        <w:tc>
          <w:tcPr>
            <w:tcW w:w="900" w:type="dxa"/>
          </w:tcPr>
          <w:p w:rsidR="00DD061C" w:rsidRPr="00CF7934" w:rsidRDefault="00DD061C" w:rsidP="0072039D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DD061C" w:rsidRPr="00CF7934" w:rsidRDefault="00DD061C" w:rsidP="008E1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7722C6">
              <w:rPr>
                <w:rFonts w:ascii="Times New Roman" w:hAnsi="Times New Roman" w:cs="Times New Roman"/>
              </w:rPr>
              <w:t xml:space="preserve">TA </w:t>
            </w:r>
            <w:r w:rsidR="008E107B">
              <w:rPr>
                <w:rFonts w:ascii="Times New Roman" w:hAnsi="Times New Roman" w:cs="Times New Roman"/>
              </w:rPr>
              <w:t>w</w:t>
            </w:r>
            <w:r w:rsidR="007722C6">
              <w:rPr>
                <w:rFonts w:ascii="Times New Roman" w:hAnsi="Times New Roman" w:cs="Times New Roman"/>
              </w:rPr>
              <w:t>orked</w:t>
            </w:r>
            <w:r w:rsidR="008E10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 Action Team</w:t>
            </w:r>
            <w:r w:rsidR="008E107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website contacts to </w:t>
            </w:r>
            <w:r w:rsidR="008E107B">
              <w:rPr>
                <w:rFonts w:ascii="Times New Roman" w:hAnsi="Times New Roman" w:cs="Times New Roman"/>
              </w:rPr>
              <w:t xml:space="preserve">update the PEP website with the latest </w:t>
            </w:r>
            <w:r>
              <w:rPr>
                <w:rFonts w:ascii="Times New Roman" w:hAnsi="Times New Roman" w:cs="Times New Roman"/>
              </w:rPr>
              <w:t>meeting minutes, agendas, flyers and strategic plans.</w:t>
            </w:r>
          </w:p>
        </w:tc>
      </w:tr>
      <w:tr w:rsidR="00DD061C" w:rsidRPr="00EE3168">
        <w:tc>
          <w:tcPr>
            <w:tcW w:w="13968" w:type="dxa"/>
            <w:gridSpan w:val="3"/>
          </w:tcPr>
          <w:p w:rsidR="00DD061C" w:rsidRPr="00CF7934" w:rsidRDefault="00DD061C" w:rsidP="00EE3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934">
              <w:rPr>
                <w:rFonts w:ascii="Times New Roman" w:hAnsi="Times New Roman" w:cs="Times New Roman"/>
                <w:b/>
              </w:rPr>
              <w:t>Statewide and National Information Dissemination</w:t>
            </w:r>
          </w:p>
        </w:tc>
      </w:tr>
      <w:tr w:rsidR="00DD061C">
        <w:tc>
          <w:tcPr>
            <w:tcW w:w="7308" w:type="dxa"/>
          </w:tcPr>
          <w:p w:rsidR="00DD061C" w:rsidRPr="00CF7934" w:rsidRDefault="00DD061C" w:rsidP="00647C54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</w:rPr>
              <w:t>Information dissemination (per DCFS request): Conference presentations, videotaped vignettes of stakeholders, policy papers, and written and/or oral reports as requested by DCFS leadership.</w:t>
            </w:r>
          </w:p>
          <w:p w:rsidR="00DD061C" w:rsidRPr="00CF7934" w:rsidRDefault="00DD061C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D061C" w:rsidRPr="00CF7934" w:rsidRDefault="007722C6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DD061C" w:rsidRPr="00CF7934" w:rsidRDefault="007722C6" w:rsidP="006A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Dettlaff presented data from the Southern Region to a data summit organized by the Paul Simon Public Policy Institute at Southern Illinois University. </w:t>
            </w:r>
          </w:p>
        </w:tc>
      </w:tr>
      <w:tr w:rsidR="00DD061C">
        <w:tc>
          <w:tcPr>
            <w:tcW w:w="7308" w:type="dxa"/>
          </w:tcPr>
          <w:p w:rsidR="00DD061C" w:rsidRPr="00CF7934" w:rsidRDefault="00DD061C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D061C" w:rsidRPr="00CF7934" w:rsidRDefault="00DD061C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DD061C" w:rsidRPr="00CF7934" w:rsidRDefault="00DD061C" w:rsidP="006A26B9">
            <w:pPr>
              <w:rPr>
                <w:rFonts w:ascii="Times New Roman" w:hAnsi="Times New Roman" w:cs="Times New Roman"/>
              </w:rPr>
            </w:pPr>
          </w:p>
        </w:tc>
      </w:tr>
      <w:tr w:rsidR="00DD061C">
        <w:tc>
          <w:tcPr>
            <w:tcW w:w="13968" w:type="dxa"/>
            <w:gridSpan w:val="3"/>
          </w:tcPr>
          <w:p w:rsidR="00DD061C" w:rsidRPr="00CF7934" w:rsidRDefault="00DD061C" w:rsidP="00EE3168">
            <w:pPr>
              <w:jc w:val="center"/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  <w:b/>
              </w:rPr>
              <w:t>Collaborations with partner initiatives</w:t>
            </w:r>
          </w:p>
        </w:tc>
      </w:tr>
      <w:tr w:rsidR="00DD061C" w:rsidRPr="00647C54">
        <w:tc>
          <w:tcPr>
            <w:tcW w:w="7308" w:type="dxa"/>
          </w:tcPr>
          <w:p w:rsidR="00DD061C" w:rsidRPr="00CF7934" w:rsidRDefault="00DD061C" w:rsidP="00647C54">
            <w:pPr>
              <w:rPr>
                <w:rFonts w:ascii="Times New Roman" w:hAnsi="Times New Roman" w:cs="Times New Roman"/>
              </w:rPr>
            </w:pPr>
            <w:r w:rsidRPr="00CF7934">
              <w:rPr>
                <w:rFonts w:ascii="Times New Roman" w:hAnsi="Times New Roman" w:cs="Times New Roman"/>
              </w:rPr>
              <w:t xml:space="preserve">Collaborations (per DCFS request): Collaborate with leaders of partner initiatives such as the “Illinois Transformation Teams”, the “Illinois Family Advocacy Center program initiates, and Illinois Court Improvement initiatives.” </w:t>
            </w:r>
          </w:p>
          <w:p w:rsidR="00DD061C" w:rsidRPr="00CF7934" w:rsidRDefault="00DD061C" w:rsidP="006A2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D061C" w:rsidRPr="00CF7934" w:rsidRDefault="007722C6" w:rsidP="006A26B9">
            <w:pPr>
              <w:rPr>
                <w:rFonts w:ascii="Times New Roman" w:hAnsi="Times New Roman" w:cs="Times New Roman"/>
              </w:rPr>
            </w:pPr>
            <w:r w:rsidRPr="00F0147A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760" w:type="dxa"/>
          </w:tcPr>
          <w:p w:rsidR="00DD061C" w:rsidRPr="00CF7934" w:rsidRDefault="007722C6" w:rsidP="006A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Dettlaff continued to participate as a member of the Cook Region Transformation Team</w:t>
            </w:r>
          </w:p>
        </w:tc>
      </w:tr>
      <w:tr w:rsidR="00DD061C">
        <w:trPr>
          <w:trHeight w:val="1568"/>
        </w:trPr>
        <w:tc>
          <w:tcPr>
            <w:tcW w:w="13968" w:type="dxa"/>
            <w:gridSpan w:val="3"/>
          </w:tcPr>
          <w:p w:rsidR="00DD061C" w:rsidRPr="00CF7934" w:rsidRDefault="00DD061C" w:rsidP="006A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Notes:</w:t>
            </w:r>
          </w:p>
        </w:tc>
      </w:tr>
    </w:tbl>
    <w:p w:rsidR="0038033E" w:rsidRDefault="0038033E"/>
    <w:sectPr w:rsidR="0038033E" w:rsidSect="00CF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C4" w:rsidRDefault="000702C4" w:rsidP="00CF7934">
      <w:pPr>
        <w:spacing w:after="0" w:line="240" w:lineRule="auto"/>
      </w:pPr>
      <w:r>
        <w:separator/>
      </w:r>
    </w:p>
  </w:endnote>
  <w:endnote w:type="continuationSeparator" w:id="0">
    <w:p w:rsidR="000702C4" w:rsidRDefault="000702C4" w:rsidP="00CF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7B" w:rsidRDefault="00015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7B" w:rsidRDefault="00015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7B" w:rsidRDefault="00015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C4" w:rsidRDefault="000702C4" w:rsidP="00CF7934">
      <w:pPr>
        <w:spacing w:after="0" w:line="240" w:lineRule="auto"/>
      </w:pPr>
      <w:r>
        <w:separator/>
      </w:r>
    </w:p>
  </w:footnote>
  <w:footnote w:type="continuationSeparator" w:id="0">
    <w:p w:rsidR="000702C4" w:rsidRDefault="000702C4" w:rsidP="00CF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7B" w:rsidRDefault="00015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7B" w:rsidRDefault="000152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7B" w:rsidRDefault="00015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C1C"/>
    <w:multiLevelType w:val="hybridMultilevel"/>
    <w:tmpl w:val="1AE2A4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3E"/>
    <w:rsid w:val="0001433D"/>
    <w:rsid w:val="00014F39"/>
    <w:rsid w:val="0001527B"/>
    <w:rsid w:val="00032318"/>
    <w:rsid w:val="000702C4"/>
    <w:rsid w:val="00074F22"/>
    <w:rsid w:val="00091798"/>
    <w:rsid w:val="000B102D"/>
    <w:rsid w:val="00120A88"/>
    <w:rsid w:val="001322BF"/>
    <w:rsid w:val="00165223"/>
    <w:rsid w:val="00171F09"/>
    <w:rsid w:val="001A306A"/>
    <w:rsid w:val="001D5399"/>
    <w:rsid w:val="001D580D"/>
    <w:rsid w:val="001F2FA0"/>
    <w:rsid w:val="002225A5"/>
    <w:rsid w:val="002A2822"/>
    <w:rsid w:val="002C5E15"/>
    <w:rsid w:val="002D522C"/>
    <w:rsid w:val="003010DF"/>
    <w:rsid w:val="0038033E"/>
    <w:rsid w:val="003A0E7A"/>
    <w:rsid w:val="00410EB9"/>
    <w:rsid w:val="00434648"/>
    <w:rsid w:val="004B5040"/>
    <w:rsid w:val="004B7509"/>
    <w:rsid w:val="004C6BE3"/>
    <w:rsid w:val="004E3FF9"/>
    <w:rsid w:val="005161CA"/>
    <w:rsid w:val="00555703"/>
    <w:rsid w:val="00586AD0"/>
    <w:rsid w:val="005E35E5"/>
    <w:rsid w:val="005E3D08"/>
    <w:rsid w:val="005F1590"/>
    <w:rsid w:val="00614186"/>
    <w:rsid w:val="006276BD"/>
    <w:rsid w:val="00647C54"/>
    <w:rsid w:val="0065356F"/>
    <w:rsid w:val="006A26B9"/>
    <w:rsid w:val="006B411B"/>
    <w:rsid w:val="0072039D"/>
    <w:rsid w:val="007722C6"/>
    <w:rsid w:val="007834AA"/>
    <w:rsid w:val="007C05D8"/>
    <w:rsid w:val="008066F0"/>
    <w:rsid w:val="00831A3C"/>
    <w:rsid w:val="00836886"/>
    <w:rsid w:val="008E107B"/>
    <w:rsid w:val="00962B25"/>
    <w:rsid w:val="009863EE"/>
    <w:rsid w:val="009B79C8"/>
    <w:rsid w:val="009C04F6"/>
    <w:rsid w:val="009E73CF"/>
    <w:rsid w:val="00A0550B"/>
    <w:rsid w:val="00A17730"/>
    <w:rsid w:val="00A462BC"/>
    <w:rsid w:val="00A614D8"/>
    <w:rsid w:val="00A801BA"/>
    <w:rsid w:val="00AA3DDA"/>
    <w:rsid w:val="00B13EF5"/>
    <w:rsid w:val="00B65EB5"/>
    <w:rsid w:val="00C056ED"/>
    <w:rsid w:val="00C13E58"/>
    <w:rsid w:val="00C84B35"/>
    <w:rsid w:val="00C84CDE"/>
    <w:rsid w:val="00C84EDB"/>
    <w:rsid w:val="00CF2E38"/>
    <w:rsid w:val="00CF7934"/>
    <w:rsid w:val="00CF7E2D"/>
    <w:rsid w:val="00D3608C"/>
    <w:rsid w:val="00D40842"/>
    <w:rsid w:val="00D51B0A"/>
    <w:rsid w:val="00D61CC9"/>
    <w:rsid w:val="00D76648"/>
    <w:rsid w:val="00D8733C"/>
    <w:rsid w:val="00DC435F"/>
    <w:rsid w:val="00DD061C"/>
    <w:rsid w:val="00DF5D63"/>
    <w:rsid w:val="00E31979"/>
    <w:rsid w:val="00E3550F"/>
    <w:rsid w:val="00E66D55"/>
    <w:rsid w:val="00EB3371"/>
    <w:rsid w:val="00EE3168"/>
    <w:rsid w:val="00EE6AF1"/>
    <w:rsid w:val="00F0147A"/>
    <w:rsid w:val="00F74116"/>
    <w:rsid w:val="00FB4454"/>
    <w:rsid w:val="00FE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3168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character" w:styleId="CommentReference">
    <w:name w:val="annotation reference"/>
    <w:basedOn w:val="DefaultParagraphFont"/>
    <w:uiPriority w:val="99"/>
    <w:semiHidden/>
    <w:unhideWhenUsed/>
    <w:rsid w:val="00C13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3168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character" w:styleId="CommentReference">
    <w:name w:val="annotation reference"/>
    <w:basedOn w:val="DefaultParagraphFont"/>
    <w:uiPriority w:val="99"/>
    <w:semiHidden/>
    <w:unhideWhenUsed/>
    <w:rsid w:val="00C13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E6BF-9C55-4D6E-A2BC-9D6CC9F0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dmhous2</dc:creator>
  <cp:lastModifiedBy>James Gleason</cp:lastModifiedBy>
  <cp:revision>3</cp:revision>
  <dcterms:created xsi:type="dcterms:W3CDTF">2016-03-07T18:38:00Z</dcterms:created>
  <dcterms:modified xsi:type="dcterms:W3CDTF">2016-03-07T18:38:00Z</dcterms:modified>
</cp:coreProperties>
</file>